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6930"/>
      </w:tblGrid>
      <w:tr w:rsidR="005D423F" w:rsidRPr="002C108D" w:rsidTr="005D423F">
        <w:trPr>
          <w:trHeight w:val="2512"/>
        </w:trPr>
        <w:tc>
          <w:tcPr>
            <w:tcW w:w="2284" w:type="dxa"/>
          </w:tcPr>
          <w:p w:rsidR="005D423F" w:rsidRDefault="005D423F" w:rsidP="005D423F">
            <w:pPr>
              <w:jc w:val="center"/>
              <w:rPr>
                <w:b/>
                <w:sz w:val="44"/>
                <w:szCs w:val="44"/>
                <w:lang w:val="ru-RU"/>
              </w:rPr>
            </w:pPr>
            <w:r>
              <w:rPr>
                <w:b/>
                <w:noProof/>
                <w:sz w:val="44"/>
                <w:szCs w:val="44"/>
              </w:rPr>
              <w:drawing>
                <wp:inline distT="0" distB="0" distL="0" distR="0">
                  <wp:extent cx="1534795" cy="1772920"/>
                  <wp:effectExtent l="0" t="0" r="8255" b="0"/>
                  <wp:docPr id="9" name="Рисунок 9" descr="C:\Users\fern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ernd\AppData\Local\Microsoft\Windows\INetCache\Content.Word\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4795" cy="1772920"/>
                          </a:xfrm>
                          <a:prstGeom prst="rect">
                            <a:avLst/>
                          </a:prstGeom>
                          <a:noFill/>
                          <a:ln>
                            <a:noFill/>
                          </a:ln>
                        </pic:spPr>
                      </pic:pic>
                    </a:graphicData>
                  </a:graphic>
                </wp:inline>
              </w:drawing>
            </w:r>
          </w:p>
        </w:tc>
        <w:tc>
          <w:tcPr>
            <w:tcW w:w="7280" w:type="dxa"/>
          </w:tcPr>
          <w:p w:rsidR="005D423F" w:rsidRPr="00E57CBD" w:rsidRDefault="005D423F" w:rsidP="005D423F">
            <w:pPr>
              <w:jc w:val="center"/>
              <w:rPr>
                <w:b/>
                <w:sz w:val="44"/>
                <w:szCs w:val="44"/>
                <w:lang w:val="ru-RU"/>
              </w:rPr>
            </w:pPr>
            <w:r w:rsidRPr="00161115">
              <w:rPr>
                <w:b/>
                <w:sz w:val="44"/>
                <w:szCs w:val="44"/>
                <w:lang w:val="ru-RU"/>
              </w:rPr>
              <w:t xml:space="preserve">Международный рейтинг </w:t>
            </w:r>
            <w:r w:rsidRPr="00161115">
              <w:rPr>
                <w:b/>
                <w:sz w:val="44"/>
                <w:szCs w:val="44"/>
              </w:rPr>
              <w:t>ARES</w:t>
            </w:r>
            <w:r>
              <w:rPr>
                <w:b/>
                <w:sz w:val="44"/>
                <w:szCs w:val="44"/>
                <w:lang w:val="ru-RU"/>
              </w:rPr>
              <w:t>-2021</w:t>
            </w:r>
          </w:p>
          <w:p w:rsidR="005D423F" w:rsidRPr="00DA5E2D" w:rsidRDefault="005D423F" w:rsidP="005D423F">
            <w:pPr>
              <w:pStyle w:val="ab"/>
              <w:rPr>
                <w:lang w:val="ru-RU"/>
              </w:rPr>
            </w:pPr>
            <w:r w:rsidRPr="00623A2F">
              <w:rPr>
                <w:lang w:val="ru-RU"/>
              </w:rPr>
              <w:t>Просьба заполнить и переслать на электронн</w:t>
            </w:r>
            <w:r>
              <w:rPr>
                <w:lang w:val="ru-RU"/>
              </w:rPr>
              <w:t xml:space="preserve">ый адрес info@euavanti.com до </w:t>
            </w:r>
            <w:r w:rsidR="002C108D" w:rsidRPr="002C108D">
              <w:rPr>
                <w:lang w:val="ru-RU"/>
              </w:rPr>
              <w:t>2</w:t>
            </w:r>
            <w:bookmarkStart w:id="0" w:name="_GoBack"/>
            <w:bookmarkEnd w:id="0"/>
            <w:r w:rsidRPr="005D423F">
              <w:rPr>
                <w:lang w:val="ru-RU"/>
              </w:rPr>
              <w:t>5</w:t>
            </w:r>
            <w:r w:rsidR="00DA5E2D">
              <w:rPr>
                <w:lang w:val="ru-RU"/>
              </w:rPr>
              <w:t xml:space="preserve"> марта</w:t>
            </w:r>
            <w:r>
              <w:rPr>
                <w:lang w:val="ru-RU"/>
              </w:rPr>
              <w:t xml:space="preserve">  202</w:t>
            </w:r>
            <w:r w:rsidRPr="005D423F">
              <w:rPr>
                <w:lang w:val="ru-RU"/>
              </w:rPr>
              <w:t>1</w:t>
            </w:r>
            <w:r w:rsidRPr="00623A2F">
              <w:rPr>
                <w:lang w:val="ru-RU"/>
              </w:rPr>
              <w:t>. Результаты р</w:t>
            </w:r>
            <w:r>
              <w:rPr>
                <w:lang w:val="ru-RU"/>
              </w:rPr>
              <w:t>ейтинга будут опубликованы до 1</w:t>
            </w:r>
            <w:r w:rsidRPr="0098375A">
              <w:rPr>
                <w:lang w:val="ru-RU"/>
              </w:rPr>
              <w:t>0</w:t>
            </w:r>
            <w:r w:rsidRPr="00623A2F">
              <w:rPr>
                <w:lang w:val="ru-RU"/>
              </w:rPr>
              <w:t xml:space="preserve">  </w:t>
            </w:r>
            <w:r w:rsidR="004A6ADE">
              <w:rPr>
                <w:lang w:val="ru-RU"/>
              </w:rPr>
              <w:t>апреля</w:t>
            </w:r>
            <w:r w:rsidRPr="00623A2F">
              <w:rPr>
                <w:lang w:val="ru-RU"/>
              </w:rPr>
              <w:t xml:space="preserve"> </w:t>
            </w:r>
            <w:r>
              <w:rPr>
                <w:lang w:val="ru-RU"/>
              </w:rPr>
              <w:t>202</w:t>
            </w:r>
            <w:r w:rsidRPr="00DA5E2D">
              <w:rPr>
                <w:lang w:val="ru-RU"/>
              </w:rPr>
              <w:t>1</w:t>
            </w:r>
          </w:p>
          <w:p w:rsidR="005D423F" w:rsidRDefault="005D423F" w:rsidP="005D423F">
            <w:pPr>
              <w:pStyle w:val="ab"/>
              <w:rPr>
                <w:sz w:val="44"/>
                <w:szCs w:val="44"/>
                <w:lang w:val="ru-RU"/>
              </w:rPr>
            </w:pPr>
            <w:r>
              <w:rPr>
                <w:lang w:val="ru-RU"/>
              </w:rPr>
              <w:t>Данные должны быть внесены за период с  1 января 20</w:t>
            </w:r>
            <w:r w:rsidRPr="005D423F">
              <w:rPr>
                <w:lang w:val="ru-RU"/>
              </w:rPr>
              <w:t>20</w:t>
            </w:r>
            <w:r>
              <w:rPr>
                <w:lang w:val="ru-RU"/>
              </w:rPr>
              <w:t xml:space="preserve"> до 31 декабря 20</w:t>
            </w:r>
            <w:r w:rsidRPr="005D423F">
              <w:rPr>
                <w:lang w:val="ru-RU"/>
              </w:rPr>
              <w:t>20</w:t>
            </w:r>
          </w:p>
        </w:tc>
      </w:tr>
    </w:tbl>
    <w:p w:rsidR="00731232" w:rsidRDefault="00731232" w:rsidP="00161115">
      <w:pPr>
        <w:jc w:val="center"/>
        <w:rPr>
          <w:b/>
          <w:sz w:val="44"/>
          <w:szCs w:val="44"/>
          <w:lang w:val="ru-RU"/>
        </w:rPr>
      </w:pPr>
      <w:r w:rsidRPr="00161115">
        <w:rPr>
          <w:b/>
          <w:sz w:val="44"/>
          <w:szCs w:val="44"/>
          <w:lang w:val="ru-RU"/>
        </w:rPr>
        <w:t>Европейский стандарт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8"/>
        <w:gridCol w:w="1350"/>
        <w:gridCol w:w="1890"/>
      </w:tblGrid>
      <w:tr w:rsidR="00731232" w:rsidRPr="002C108D" w:rsidTr="005D423F">
        <w:tc>
          <w:tcPr>
            <w:tcW w:w="9918" w:type="dxa"/>
            <w:gridSpan w:val="3"/>
          </w:tcPr>
          <w:p w:rsidR="00731232" w:rsidRPr="00C9683D" w:rsidRDefault="00731232" w:rsidP="00C9683D">
            <w:pPr>
              <w:spacing w:after="0" w:line="240" w:lineRule="auto"/>
              <w:jc w:val="center"/>
              <w:rPr>
                <w:b/>
                <w:sz w:val="28"/>
                <w:szCs w:val="28"/>
                <w:lang w:val="ru-RU"/>
              </w:rPr>
            </w:pPr>
          </w:p>
          <w:p w:rsidR="00731232" w:rsidRDefault="00731232" w:rsidP="00C9683D">
            <w:pPr>
              <w:spacing w:after="0" w:line="240" w:lineRule="auto"/>
              <w:rPr>
                <w:b/>
                <w:sz w:val="28"/>
                <w:szCs w:val="28"/>
                <w:lang w:val="ru-RU"/>
              </w:rPr>
            </w:pPr>
            <w:r w:rsidRPr="00C9683D">
              <w:rPr>
                <w:b/>
                <w:sz w:val="28"/>
                <w:szCs w:val="28"/>
                <w:lang w:val="ru-RU"/>
              </w:rPr>
              <w:t xml:space="preserve">Точное название Университета по-английски, которое появится на дипломе </w:t>
            </w:r>
            <w:r w:rsidRPr="00C9683D">
              <w:rPr>
                <w:b/>
                <w:sz w:val="28"/>
                <w:szCs w:val="28"/>
              </w:rPr>
              <w:t>ARES</w:t>
            </w:r>
            <w:r w:rsidR="005D423F">
              <w:rPr>
                <w:b/>
                <w:sz w:val="28"/>
                <w:szCs w:val="28"/>
                <w:lang w:val="ru-RU"/>
              </w:rPr>
              <w:t>-202</w:t>
            </w:r>
            <w:r w:rsidR="005D423F" w:rsidRPr="005D423F">
              <w:rPr>
                <w:b/>
                <w:sz w:val="28"/>
                <w:szCs w:val="28"/>
                <w:lang w:val="ru-RU"/>
              </w:rPr>
              <w:t>1</w:t>
            </w:r>
            <w:r w:rsidRPr="00C9683D">
              <w:rPr>
                <w:b/>
                <w:sz w:val="28"/>
                <w:szCs w:val="28"/>
                <w:lang w:val="ru-RU"/>
              </w:rPr>
              <w:t xml:space="preserve">: </w:t>
            </w:r>
          </w:p>
          <w:p w:rsidR="00731232" w:rsidRPr="00C9683D" w:rsidRDefault="00731232" w:rsidP="00C9683D">
            <w:pPr>
              <w:spacing w:after="0" w:line="240" w:lineRule="auto"/>
              <w:rPr>
                <w:b/>
                <w:sz w:val="44"/>
                <w:szCs w:val="44"/>
                <w:lang w:val="ru-RU"/>
              </w:rPr>
            </w:pPr>
          </w:p>
        </w:tc>
      </w:tr>
      <w:tr w:rsidR="00731232" w:rsidRPr="00C9683D" w:rsidTr="005D423F">
        <w:tc>
          <w:tcPr>
            <w:tcW w:w="6678" w:type="dxa"/>
          </w:tcPr>
          <w:p w:rsidR="00731232" w:rsidRPr="005D423F" w:rsidRDefault="00731232" w:rsidP="00C9683D">
            <w:pPr>
              <w:spacing w:after="0" w:line="240" w:lineRule="auto"/>
              <w:rPr>
                <w:rFonts w:ascii="Times New Roman" w:hAnsi="Times New Roman"/>
                <w:b/>
                <w:sz w:val="24"/>
                <w:szCs w:val="24"/>
                <w:lang w:val="ru-RU"/>
              </w:rPr>
            </w:pPr>
            <w:r w:rsidRPr="00C9683D">
              <w:rPr>
                <w:rFonts w:ascii="Times New Roman" w:hAnsi="Times New Roman"/>
                <w:b/>
                <w:sz w:val="24"/>
                <w:szCs w:val="24"/>
                <w:lang w:val="ru-RU"/>
              </w:rPr>
              <w:t>Качество</w:t>
            </w:r>
            <w:r w:rsidR="005D423F">
              <w:rPr>
                <w:rFonts w:ascii="Times New Roman" w:hAnsi="Times New Roman"/>
                <w:b/>
                <w:sz w:val="24"/>
                <w:szCs w:val="24"/>
              </w:rPr>
              <w:t xml:space="preserve"> </w:t>
            </w:r>
            <w:r w:rsidR="005D423F">
              <w:rPr>
                <w:rFonts w:ascii="Times New Roman" w:hAnsi="Times New Roman"/>
                <w:b/>
                <w:sz w:val="24"/>
                <w:szCs w:val="24"/>
                <w:lang w:val="ru-RU"/>
              </w:rPr>
              <w:t>преподавания</w:t>
            </w:r>
          </w:p>
        </w:tc>
        <w:tc>
          <w:tcPr>
            <w:tcW w:w="1350" w:type="dxa"/>
          </w:tcPr>
          <w:p w:rsidR="00731232" w:rsidRPr="00C9683D" w:rsidRDefault="00731232" w:rsidP="00C9683D">
            <w:pPr>
              <w:spacing w:after="0" w:line="240" w:lineRule="auto"/>
              <w:jc w:val="center"/>
              <w:rPr>
                <w:rFonts w:ascii="Times New Roman" w:hAnsi="Times New Roman"/>
                <w:sz w:val="24"/>
                <w:szCs w:val="24"/>
                <w:lang w:val="ru-RU"/>
              </w:rPr>
            </w:pPr>
            <w:r w:rsidRPr="00C9683D">
              <w:rPr>
                <w:rFonts w:ascii="Times New Roman" w:hAnsi="Times New Roman"/>
                <w:sz w:val="24"/>
                <w:szCs w:val="24"/>
                <w:lang w:val="ru-RU"/>
              </w:rPr>
              <w:t>да</w:t>
            </w:r>
          </w:p>
        </w:tc>
        <w:tc>
          <w:tcPr>
            <w:tcW w:w="1890" w:type="dxa"/>
          </w:tcPr>
          <w:p w:rsidR="00731232" w:rsidRPr="00C9683D" w:rsidRDefault="00731232" w:rsidP="00C9683D">
            <w:pPr>
              <w:spacing w:after="0" w:line="240" w:lineRule="auto"/>
              <w:jc w:val="center"/>
              <w:rPr>
                <w:rFonts w:ascii="Times New Roman" w:hAnsi="Times New Roman"/>
                <w:sz w:val="24"/>
                <w:szCs w:val="24"/>
                <w:lang w:val="ru-RU"/>
              </w:rPr>
            </w:pPr>
            <w:r w:rsidRPr="00C9683D">
              <w:rPr>
                <w:rFonts w:ascii="Times New Roman" w:hAnsi="Times New Roman"/>
                <w:sz w:val="24"/>
                <w:szCs w:val="24"/>
                <w:lang w:val="ru-RU"/>
              </w:rPr>
              <w:t>нет</w:t>
            </w:r>
          </w:p>
        </w:tc>
      </w:tr>
      <w:tr w:rsidR="00731232" w:rsidRPr="00C9683D" w:rsidTr="005D423F">
        <w:tc>
          <w:tcPr>
            <w:tcW w:w="6678" w:type="dxa"/>
          </w:tcPr>
          <w:p w:rsidR="00731232" w:rsidRPr="00C9683D" w:rsidRDefault="00731232" w:rsidP="00C9683D">
            <w:pPr>
              <w:spacing w:after="0" w:line="240" w:lineRule="auto"/>
              <w:rPr>
                <w:rFonts w:ascii="Times New Roman" w:hAnsi="Times New Roman"/>
                <w:b/>
                <w:sz w:val="24"/>
                <w:szCs w:val="24"/>
                <w:lang w:val="ru-RU"/>
              </w:rPr>
            </w:pPr>
            <w:r w:rsidRPr="00C9683D">
              <w:rPr>
                <w:rFonts w:ascii="Times New Roman" w:hAnsi="Times New Roman"/>
                <w:b/>
                <w:sz w:val="24"/>
                <w:szCs w:val="24"/>
                <w:lang w:val="ru-RU"/>
              </w:rPr>
              <w:t>Разработал ли Ваш Университет свои правила по обеспечению качества преподавания?</w:t>
            </w:r>
          </w:p>
          <w:p w:rsidR="00731232" w:rsidRPr="00C9683D" w:rsidRDefault="00731232" w:rsidP="00C9683D">
            <w:pPr>
              <w:spacing w:after="0" w:line="240" w:lineRule="auto"/>
              <w:rPr>
                <w:b/>
                <w:sz w:val="20"/>
                <w:szCs w:val="20"/>
              </w:rPr>
            </w:pPr>
            <w:r w:rsidRPr="00C9683D">
              <w:rPr>
                <w:sz w:val="20"/>
                <w:szCs w:val="20"/>
              </w:rPr>
              <w:t>Higher education institutions should not only comply with external quality assurance requirements but should also actively promote the development of an internal quality culture.</w:t>
            </w:r>
          </w:p>
        </w:tc>
        <w:tc>
          <w:tcPr>
            <w:tcW w:w="1350" w:type="dxa"/>
          </w:tcPr>
          <w:p w:rsidR="00731232" w:rsidRPr="00C9683D" w:rsidRDefault="00731232" w:rsidP="00C9683D">
            <w:pPr>
              <w:spacing w:after="0" w:line="240" w:lineRule="auto"/>
              <w:jc w:val="center"/>
              <w:rPr>
                <w:b/>
                <w:sz w:val="44"/>
                <w:szCs w:val="44"/>
              </w:rPr>
            </w:pPr>
          </w:p>
        </w:tc>
        <w:tc>
          <w:tcPr>
            <w:tcW w:w="1890" w:type="dxa"/>
          </w:tcPr>
          <w:p w:rsidR="00731232" w:rsidRPr="00C9683D" w:rsidRDefault="00731232" w:rsidP="00C9683D">
            <w:pPr>
              <w:spacing w:after="0" w:line="240" w:lineRule="auto"/>
              <w:jc w:val="center"/>
              <w:rPr>
                <w:b/>
                <w:sz w:val="44"/>
                <w:szCs w:val="44"/>
              </w:rPr>
            </w:pPr>
          </w:p>
        </w:tc>
      </w:tr>
      <w:tr w:rsidR="00731232" w:rsidRPr="00C9683D" w:rsidTr="005D423F">
        <w:tc>
          <w:tcPr>
            <w:tcW w:w="6678" w:type="dxa"/>
          </w:tcPr>
          <w:p w:rsidR="00731232" w:rsidRPr="00C9683D" w:rsidRDefault="00731232" w:rsidP="00C9683D">
            <w:pPr>
              <w:spacing w:after="0" w:line="240" w:lineRule="auto"/>
              <w:rPr>
                <w:rFonts w:ascii="Times New Roman" w:hAnsi="Times New Roman"/>
                <w:b/>
                <w:sz w:val="24"/>
                <w:szCs w:val="24"/>
                <w:lang w:val="ru-RU"/>
              </w:rPr>
            </w:pPr>
            <w:r w:rsidRPr="00C9683D">
              <w:rPr>
                <w:rFonts w:ascii="Times New Roman" w:hAnsi="Times New Roman"/>
                <w:b/>
                <w:sz w:val="24"/>
                <w:szCs w:val="24"/>
                <w:lang w:val="ru-RU"/>
              </w:rPr>
              <w:t>Эти правила были разработаны и внедрены с помощью соответствующих университетских структур с участием студентов и внешней экспертизы?</w:t>
            </w:r>
          </w:p>
          <w:p w:rsidR="00731232" w:rsidRPr="00C9683D" w:rsidRDefault="00731232" w:rsidP="00C9683D">
            <w:pPr>
              <w:spacing w:after="0" w:line="240" w:lineRule="auto"/>
              <w:rPr>
                <w:b/>
                <w:sz w:val="20"/>
                <w:szCs w:val="20"/>
              </w:rPr>
            </w:pPr>
            <w:r w:rsidRPr="00C9683D">
              <w:rPr>
                <w:sz w:val="20"/>
                <w:szCs w:val="20"/>
              </w:rPr>
              <w:t xml:space="preserve">Rules of higher education </w:t>
            </w:r>
            <w:proofErr w:type="gramStart"/>
            <w:r w:rsidRPr="00C9683D">
              <w:rPr>
                <w:sz w:val="20"/>
                <w:szCs w:val="20"/>
              </w:rPr>
              <w:t>institutions  to</w:t>
            </w:r>
            <w:proofErr w:type="gramEnd"/>
            <w:r w:rsidRPr="00C9683D">
              <w:rPr>
                <w:sz w:val="20"/>
                <w:szCs w:val="20"/>
              </w:rPr>
              <w:t xml:space="preserve"> monitor how quality assurance (QA) systems in higher education institutions are operating, identify good practices and areas for concern, assist them in the development of procedures and monitor the overall functioning of the system are student-centered involving external expertise.</w:t>
            </w:r>
          </w:p>
        </w:tc>
        <w:tc>
          <w:tcPr>
            <w:tcW w:w="1350" w:type="dxa"/>
          </w:tcPr>
          <w:p w:rsidR="00731232" w:rsidRPr="00C9683D" w:rsidRDefault="00731232" w:rsidP="00C9683D">
            <w:pPr>
              <w:spacing w:after="0" w:line="240" w:lineRule="auto"/>
              <w:jc w:val="center"/>
              <w:rPr>
                <w:b/>
                <w:sz w:val="44"/>
                <w:szCs w:val="44"/>
              </w:rPr>
            </w:pPr>
          </w:p>
        </w:tc>
        <w:tc>
          <w:tcPr>
            <w:tcW w:w="1890" w:type="dxa"/>
          </w:tcPr>
          <w:p w:rsidR="00731232" w:rsidRPr="00C9683D" w:rsidRDefault="00731232" w:rsidP="00C9683D">
            <w:pPr>
              <w:spacing w:after="0" w:line="240" w:lineRule="auto"/>
              <w:jc w:val="center"/>
              <w:rPr>
                <w:b/>
                <w:sz w:val="44"/>
                <w:szCs w:val="44"/>
              </w:rPr>
            </w:pPr>
          </w:p>
        </w:tc>
      </w:tr>
      <w:tr w:rsidR="00731232" w:rsidRPr="00C9683D" w:rsidTr="005D423F">
        <w:tc>
          <w:tcPr>
            <w:tcW w:w="6678" w:type="dxa"/>
          </w:tcPr>
          <w:p w:rsidR="00731232" w:rsidRPr="00C9683D" w:rsidRDefault="00731232" w:rsidP="00C9683D">
            <w:pPr>
              <w:spacing w:after="0" w:line="240" w:lineRule="auto"/>
              <w:rPr>
                <w:rFonts w:ascii="Times New Roman" w:hAnsi="Times New Roman"/>
                <w:b/>
                <w:sz w:val="24"/>
                <w:szCs w:val="24"/>
                <w:lang w:val="ru-RU"/>
              </w:rPr>
            </w:pPr>
            <w:r w:rsidRPr="00C9683D">
              <w:rPr>
                <w:rFonts w:ascii="Times New Roman" w:hAnsi="Times New Roman"/>
                <w:b/>
                <w:sz w:val="24"/>
                <w:szCs w:val="24"/>
                <w:lang w:val="ru-RU"/>
              </w:rPr>
              <w:t>Происходит ли регулярная оценка и коррекция способов преподавания?</w:t>
            </w:r>
          </w:p>
          <w:p w:rsidR="00731232" w:rsidRPr="00C9683D" w:rsidRDefault="00731232" w:rsidP="00C9683D">
            <w:pPr>
              <w:spacing w:after="0" w:line="240" w:lineRule="auto"/>
              <w:rPr>
                <w:b/>
                <w:sz w:val="44"/>
                <w:szCs w:val="44"/>
              </w:rPr>
            </w:pPr>
            <w:r w:rsidRPr="00C9683D">
              <w:rPr>
                <w:rFonts w:cs="Calibri"/>
                <w:color w:val="000000"/>
                <w:sz w:val="20"/>
                <w:szCs w:val="20"/>
                <w:shd w:val="clear" w:color="auto" w:fill="FFFFFF"/>
              </w:rPr>
              <w:t>Annual assessment of QA helps </w:t>
            </w:r>
            <w:r w:rsidRPr="00C9683D">
              <w:rPr>
                <w:rFonts w:cs="Calibri"/>
                <w:color w:val="000000"/>
                <w:sz w:val="20"/>
                <w:szCs w:val="20"/>
                <w:bdr w:val="none" w:sz="0" w:space="0" w:color="auto" w:frame="1"/>
                <w:shd w:val="clear" w:color="auto" w:fill="FFFFFF"/>
              </w:rPr>
              <w:t> </w:t>
            </w:r>
            <w:r w:rsidRPr="00C9683D">
              <w:rPr>
                <w:rFonts w:cs="Calibri"/>
                <w:color w:val="000000"/>
                <w:sz w:val="20"/>
                <w:szCs w:val="20"/>
                <w:shd w:val="clear" w:color="auto" w:fill="FFFFFF"/>
              </w:rPr>
              <w:t>further tailor the teaching strategy, reduce dropout rates, improve the employability of graduates, take into account innovative learning pathways and delivery modes, respond to the need to internationalize the study programs and to reward good teachers, among many other aspects. </w:t>
            </w:r>
          </w:p>
        </w:tc>
        <w:tc>
          <w:tcPr>
            <w:tcW w:w="1350" w:type="dxa"/>
          </w:tcPr>
          <w:p w:rsidR="00731232" w:rsidRPr="00C9683D" w:rsidRDefault="00731232" w:rsidP="00C9683D">
            <w:pPr>
              <w:spacing w:after="0" w:line="240" w:lineRule="auto"/>
              <w:jc w:val="center"/>
              <w:rPr>
                <w:b/>
                <w:sz w:val="44"/>
                <w:szCs w:val="44"/>
              </w:rPr>
            </w:pPr>
          </w:p>
        </w:tc>
        <w:tc>
          <w:tcPr>
            <w:tcW w:w="1890" w:type="dxa"/>
          </w:tcPr>
          <w:p w:rsidR="00731232" w:rsidRPr="00C9683D" w:rsidRDefault="00731232" w:rsidP="00C9683D">
            <w:pPr>
              <w:spacing w:after="0" w:line="240" w:lineRule="auto"/>
              <w:jc w:val="center"/>
              <w:rPr>
                <w:b/>
                <w:sz w:val="44"/>
                <w:szCs w:val="44"/>
              </w:rPr>
            </w:pPr>
          </w:p>
        </w:tc>
      </w:tr>
      <w:tr w:rsidR="005D423F" w:rsidRPr="00C9683D" w:rsidTr="005D423F">
        <w:tc>
          <w:tcPr>
            <w:tcW w:w="6678" w:type="dxa"/>
          </w:tcPr>
          <w:p w:rsidR="005D423F" w:rsidRPr="00C9683D" w:rsidRDefault="005D423F" w:rsidP="005D423F">
            <w:pPr>
              <w:spacing w:after="0" w:line="240" w:lineRule="auto"/>
              <w:rPr>
                <w:rFonts w:ascii="Times New Roman" w:hAnsi="Times New Roman"/>
                <w:b/>
                <w:sz w:val="24"/>
                <w:szCs w:val="24"/>
                <w:lang w:val="ru-RU"/>
              </w:rPr>
            </w:pPr>
            <w:r>
              <w:rPr>
                <w:rFonts w:ascii="Times New Roman" w:hAnsi="Times New Roman"/>
                <w:b/>
                <w:sz w:val="24"/>
                <w:szCs w:val="24"/>
                <w:lang w:val="ru-RU"/>
              </w:rPr>
              <w:t>Имеется  ли  специально оснащенное  помещение для библиотеки и возможность для студентов подключения к электронной библиотеке</w:t>
            </w:r>
            <w:proofErr w:type="gramStart"/>
            <w:r>
              <w:rPr>
                <w:rFonts w:ascii="Times New Roman" w:hAnsi="Times New Roman"/>
                <w:b/>
                <w:sz w:val="24"/>
                <w:szCs w:val="24"/>
                <w:lang w:val="ru-RU"/>
              </w:rPr>
              <w:t xml:space="preserve"> </w:t>
            </w:r>
            <w:r w:rsidRPr="00C9683D">
              <w:rPr>
                <w:rFonts w:ascii="Times New Roman" w:hAnsi="Times New Roman"/>
                <w:b/>
                <w:sz w:val="24"/>
                <w:szCs w:val="24"/>
                <w:lang w:val="ru-RU"/>
              </w:rPr>
              <w:t>?</w:t>
            </w:r>
            <w:proofErr w:type="gramEnd"/>
          </w:p>
          <w:p w:rsidR="005D423F" w:rsidRPr="005D423F" w:rsidRDefault="005D423F" w:rsidP="005D423F">
            <w:pPr>
              <w:spacing w:after="0" w:line="240" w:lineRule="auto"/>
              <w:rPr>
                <w:rFonts w:ascii="Times New Roman" w:hAnsi="Times New Roman"/>
                <w:b/>
                <w:sz w:val="24"/>
                <w:szCs w:val="24"/>
              </w:rPr>
            </w:pPr>
            <w:r w:rsidRPr="005D423F">
              <w:rPr>
                <w:rFonts w:cs="Calibri"/>
                <w:color w:val="000000"/>
                <w:sz w:val="20"/>
                <w:szCs w:val="20"/>
                <w:shd w:val="clear" w:color="auto" w:fill="FFFFFF"/>
              </w:rPr>
              <w:t>Modern</w:t>
            </w:r>
            <w:r>
              <w:rPr>
                <w:rFonts w:cs="Calibri"/>
                <w:color w:val="000000"/>
                <w:sz w:val="20"/>
                <w:szCs w:val="20"/>
                <w:shd w:val="clear" w:color="auto" w:fill="FFFFFF"/>
              </w:rPr>
              <w:t xml:space="preserve"> European requirement include: sufficient places to sit and read, access to e-library and availability of textbooks and scientific journals, well-trained librarians.</w:t>
            </w:r>
          </w:p>
        </w:tc>
        <w:tc>
          <w:tcPr>
            <w:tcW w:w="1350" w:type="dxa"/>
          </w:tcPr>
          <w:p w:rsidR="005D423F" w:rsidRPr="00C9683D" w:rsidRDefault="005D423F" w:rsidP="00C9683D">
            <w:pPr>
              <w:spacing w:after="0" w:line="240" w:lineRule="auto"/>
              <w:jc w:val="center"/>
              <w:rPr>
                <w:b/>
                <w:sz w:val="44"/>
                <w:szCs w:val="44"/>
              </w:rPr>
            </w:pPr>
          </w:p>
        </w:tc>
        <w:tc>
          <w:tcPr>
            <w:tcW w:w="1890" w:type="dxa"/>
          </w:tcPr>
          <w:p w:rsidR="005D423F" w:rsidRPr="00C9683D" w:rsidRDefault="005D423F" w:rsidP="00C9683D">
            <w:pPr>
              <w:spacing w:after="0" w:line="240" w:lineRule="auto"/>
              <w:jc w:val="center"/>
              <w:rPr>
                <w:b/>
                <w:sz w:val="44"/>
                <w:szCs w:val="44"/>
              </w:rPr>
            </w:pPr>
          </w:p>
        </w:tc>
      </w:tr>
      <w:tr w:rsidR="00731232" w:rsidRPr="00C9683D" w:rsidTr="005D423F">
        <w:tc>
          <w:tcPr>
            <w:tcW w:w="9918" w:type="dxa"/>
            <w:gridSpan w:val="3"/>
          </w:tcPr>
          <w:p w:rsidR="00731232" w:rsidRPr="00C9683D" w:rsidRDefault="00731232" w:rsidP="00C9683D">
            <w:pPr>
              <w:spacing w:after="0" w:line="240" w:lineRule="auto"/>
              <w:rPr>
                <w:b/>
                <w:sz w:val="24"/>
                <w:szCs w:val="24"/>
                <w:lang w:val="ru-RU"/>
              </w:rPr>
            </w:pPr>
            <w:r w:rsidRPr="00C9683D">
              <w:rPr>
                <w:rFonts w:ascii="Times New Roman" w:hAnsi="Times New Roman"/>
                <w:b/>
                <w:sz w:val="24"/>
                <w:szCs w:val="24"/>
                <w:lang w:val="ru-RU"/>
              </w:rPr>
              <w:t>Обучение</w:t>
            </w:r>
          </w:p>
        </w:tc>
      </w:tr>
      <w:tr w:rsidR="00731232" w:rsidRPr="00C9683D" w:rsidTr="005D423F">
        <w:tc>
          <w:tcPr>
            <w:tcW w:w="6678" w:type="dxa"/>
          </w:tcPr>
          <w:p w:rsidR="00731232" w:rsidRPr="00C9683D" w:rsidRDefault="00731232" w:rsidP="00C96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C9683D">
              <w:rPr>
                <w:rFonts w:ascii="Times New Roman" w:hAnsi="Times New Roman"/>
                <w:b/>
                <w:sz w:val="24"/>
                <w:szCs w:val="24"/>
                <w:lang w:val="ru-RU"/>
              </w:rPr>
              <w:lastRenderedPageBreak/>
              <w:t>Включает ли Ваша организация современные цифровые технологии в    процесс преподавания?</w:t>
            </w:r>
          </w:p>
          <w:p w:rsidR="00731232" w:rsidRPr="00C9683D" w:rsidRDefault="005D423F" w:rsidP="005D4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0"/>
                <w:szCs w:val="20"/>
              </w:rPr>
            </w:pPr>
            <w:r>
              <w:rPr>
                <w:sz w:val="20"/>
                <w:szCs w:val="20"/>
              </w:rPr>
              <w:t xml:space="preserve">WEB site should provide academic and administrative services. Digital </w:t>
            </w:r>
            <w:proofErr w:type="gramStart"/>
            <w:r>
              <w:rPr>
                <w:sz w:val="20"/>
                <w:szCs w:val="20"/>
              </w:rPr>
              <w:t>technologie</w:t>
            </w:r>
            <w:r w:rsidR="00731232" w:rsidRPr="00C9683D">
              <w:rPr>
                <w:sz w:val="20"/>
                <w:szCs w:val="20"/>
              </w:rPr>
              <w:t>s  offer</w:t>
            </w:r>
            <w:proofErr w:type="gramEnd"/>
            <w:r w:rsidR="00731232" w:rsidRPr="00C9683D">
              <w:rPr>
                <w:sz w:val="20"/>
                <w:szCs w:val="20"/>
              </w:rPr>
              <w:t xml:space="preserve"> new opportunities for teaching and learning that should  be exploited in higher education institutions. Multidisciplinary and interdisciplinary solutions are required to solve complex challenges. </w:t>
            </w:r>
          </w:p>
        </w:tc>
        <w:tc>
          <w:tcPr>
            <w:tcW w:w="1350" w:type="dxa"/>
          </w:tcPr>
          <w:p w:rsidR="00731232" w:rsidRPr="00C9683D" w:rsidRDefault="00731232" w:rsidP="00C9683D">
            <w:pPr>
              <w:spacing w:after="0" w:line="240" w:lineRule="auto"/>
              <w:jc w:val="center"/>
              <w:rPr>
                <w:b/>
                <w:sz w:val="44"/>
                <w:szCs w:val="44"/>
              </w:rPr>
            </w:pPr>
          </w:p>
        </w:tc>
        <w:tc>
          <w:tcPr>
            <w:tcW w:w="1890" w:type="dxa"/>
          </w:tcPr>
          <w:p w:rsidR="00731232" w:rsidRPr="00C9683D" w:rsidRDefault="00731232" w:rsidP="00C9683D">
            <w:pPr>
              <w:spacing w:after="0" w:line="240" w:lineRule="auto"/>
              <w:jc w:val="center"/>
              <w:rPr>
                <w:b/>
                <w:sz w:val="44"/>
                <w:szCs w:val="44"/>
              </w:rPr>
            </w:pPr>
          </w:p>
        </w:tc>
      </w:tr>
      <w:tr w:rsidR="00731232" w:rsidRPr="00C9683D" w:rsidTr="005D423F">
        <w:tc>
          <w:tcPr>
            <w:tcW w:w="6678" w:type="dxa"/>
          </w:tcPr>
          <w:p w:rsidR="00731232" w:rsidRPr="00C9683D" w:rsidRDefault="00731232" w:rsidP="00C96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C9683D">
              <w:rPr>
                <w:rFonts w:ascii="Times New Roman" w:hAnsi="Times New Roman"/>
                <w:b/>
                <w:sz w:val="24"/>
                <w:szCs w:val="24"/>
                <w:lang w:val="ru-RU"/>
              </w:rPr>
              <w:t>Выработаны ли методы для сбора данных и выработки по ним рекомендаций для студентов как улучшить процесс обучения?</w:t>
            </w:r>
          </w:p>
          <w:p w:rsidR="00731232" w:rsidRPr="00C9683D" w:rsidRDefault="00731232" w:rsidP="00C96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C9683D">
              <w:rPr>
                <w:sz w:val="20"/>
                <w:szCs w:val="20"/>
              </w:rPr>
              <w:t xml:space="preserve">The university should collect data and provide advice for university students on how to improve their learning and deal with the workload and stress.  Additionally, this  tool (can be online) serves to improve teaching by providing an evidence base to assess which teaching methods and techniques are effective or result in significant stress on the student. </w:t>
            </w:r>
            <w:r w:rsidRPr="00C9683D">
              <w:rPr>
                <w:rFonts w:ascii="Times New Roman" w:hAnsi="Times New Roman"/>
                <w:b/>
                <w:sz w:val="20"/>
                <w:szCs w:val="20"/>
              </w:rPr>
              <w:t xml:space="preserve"> </w:t>
            </w:r>
          </w:p>
        </w:tc>
        <w:tc>
          <w:tcPr>
            <w:tcW w:w="1350" w:type="dxa"/>
          </w:tcPr>
          <w:p w:rsidR="00731232" w:rsidRDefault="00731232" w:rsidP="00C9683D">
            <w:pPr>
              <w:spacing w:after="0" w:line="240" w:lineRule="auto"/>
              <w:jc w:val="center"/>
              <w:rPr>
                <w:b/>
                <w:sz w:val="44"/>
                <w:szCs w:val="44"/>
              </w:rPr>
            </w:pPr>
          </w:p>
          <w:p w:rsidR="005D423F" w:rsidRDefault="005D423F" w:rsidP="00C9683D">
            <w:pPr>
              <w:spacing w:after="0" w:line="240" w:lineRule="auto"/>
              <w:jc w:val="center"/>
              <w:rPr>
                <w:b/>
                <w:sz w:val="44"/>
                <w:szCs w:val="44"/>
              </w:rPr>
            </w:pPr>
          </w:p>
          <w:p w:rsidR="005D423F" w:rsidRDefault="005D423F" w:rsidP="00C9683D">
            <w:pPr>
              <w:spacing w:after="0" w:line="240" w:lineRule="auto"/>
              <w:jc w:val="center"/>
              <w:rPr>
                <w:b/>
                <w:sz w:val="44"/>
                <w:szCs w:val="44"/>
              </w:rPr>
            </w:pPr>
          </w:p>
          <w:p w:rsidR="005D423F" w:rsidRPr="00C9683D" w:rsidRDefault="005D423F" w:rsidP="00C9683D">
            <w:pPr>
              <w:spacing w:after="0" w:line="240" w:lineRule="auto"/>
              <w:jc w:val="center"/>
              <w:rPr>
                <w:b/>
                <w:sz w:val="44"/>
                <w:szCs w:val="44"/>
              </w:rPr>
            </w:pPr>
          </w:p>
        </w:tc>
        <w:tc>
          <w:tcPr>
            <w:tcW w:w="1890" w:type="dxa"/>
          </w:tcPr>
          <w:p w:rsidR="00731232" w:rsidRPr="00C9683D" w:rsidRDefault="00731232" w:rsidP="00C9683D">
            <w:pPr>
              <w:spacing w:after="0" w:line="240" w:lineRule="auto"/>
              <w:jc w:val="center"/>
              <w:rPr>
                <w:b/>
                <w:sz w:val="44"/>
                <w:szCs w:val="44"/>
              </w:rPr>
            </w:pPr>
          </w:p>
        </w:tc>
      </w:tr>
      <w:tr w:rsidR="00731232" w:rsidRPr="005D423F" w:rsidTr="005D423F">
        <w:trPr>
          <w:trHeight w:val="828"/>
        </w:trPr>
        <w:tc>
          <w:tcPr>
            <w:tcW w:w="9918" w:type="dxa"/>
            <w:gridSpan w:val="3"/>
          </w:tcPr>
          <w:p w:rsidR="00731232" w:rsidRPr="005D423F" w:rsidRDefault="005D423F" w:rsidP="00C9683D">
            <w:pPr>
              <w:spacing w:after="0" w:line="240" w:lineRule="auto"/>
              <w:rPr>
                <w:rFonts w:ascii="Times New Roman" w:hAnsi="Times New Roman"/>
                <w:b/>
                <w:sz w:val="24"/>
                <w:szCs w:val="24"/>
                <w:lang w:val="ru-RU"/>
              </w:rPr>
            </w:pPr>
            <w:r>
              <w:rPr>
                <w:rFonts w:ascii="Times New Roman" w:hAnsi="Times New Roman"/>
                <w:b/>
                <w:sz w:val="24"/>
                <w:szCs w:val="24"/>
                <w:lang w:val="ru-RU"/>
              </w:rPr>
              <w:t xml:space="preserve">Описание </w:t>
            </w:r>
            <w:r w:rsidR="00731232" w:rsidRPr="00C9683D">
              <w:rPr>
                <w:rFonts w:ascii="Times New Roman" w:hAnsi="Times New Roman"/>
                <w:b/>
                <w:sz w:val="24"/>
                <w:szCs w:val="24"/>
                <w:lang w:val="ru-RU"/>
              </w:rPr>
              <w:t xml:space="preserve"> университета (максимально 3 страницы А</w:t>
            </w:r>
            <w:proofErr w:type="gramStart"/>
            <w:r w:rsidR="00731232" w:rsidRPr="00C9683D">
              <w:rPr>
                <w:rFonts w:ascii="Times New Roman" w:hAnsi="Times New Roman"/>
                <w:b/>
                <w:sz w:val="24"/>
                <w:szCs w:val="24"/>
                <w:lang w:val="ru-RU"/>
              </w:rPr>
              <w:t>4</w:t>
            </w:r>
            <w:proofErr w:type="gramEnd"/>
            <w:r w:rsidR="00731232" w:rsidRPr="00C9683D">
              <w:rPr>
                <w:rFonts w:ascii="Times New Roman" w:hAnsi="Times New Roman"/>
                <w:b/>
                <w:sz w:val="24"/>
                <w:szCs w:val="24"/>
                <w:lang w:val="ru-RU"/>
              </w:rPr>
              <w:t>)</w:t>
            </w:r>
          </w:p>
          <w:p w:rsidR="005D423F" w:rsidRPr="005D423F" w:rsidRDefault="005D423F" w:rsidP="00C9683D">
            <w:pPr>
              <w:spacing w:after="0" w:line="240" w:lineRule="auto"/>
              <w:rPr>
                <w:b/>
                <w:sz w:val="44"/>
                <w:szCs w:val="44"/>
              </w:rPr>
            </w:pPr>
            <w:r w:rsidRPr="005D423F">
              <w:rPr>
                <w:sz w:val="20"/>
                <w:szCs w:val="20"/>
              </w:rPr>
              <w:t>The European standard</w:t>
            </w:r>
            <w:r>
              <w:rPr>
                <w:sz w:val="20"/>
                <w:szCs w:val="20"/>
              </w:rPr>
              <w:t xml:space="preserve"> </w:t>
            </w:r>
            <w:proofErr w:type="gramStart"/>
            <w:r>
              <w:rPr>
                <w:sz w:val="20"/>
                <w:szCs w:val="20"/>
              </w:rPr>
              <w:t>requires  adequate</w:t>
            </w:r>
            <w:proofErr w:type="gramEnd"/>
            <w:r>
              <w:rPr>
                <w:sz w:val="20"/>
                <w:szCs w:val="20"/>
              </w:rPr>
              <w:t xml:space="preserve"> high-quality  sport and medical facilities, sophisticated classroom and laboratories.</w:t>
            </w:r>
          </w:p>
        </w:tc>
      </w:tr>
      <w:tr w:rsidR="00731232" w:rsidRPr="005D423F" w:rsidTr="005D423F">
        <w:tc>
          <w:tcPr>
            <w:tcW w:w="9918" w:type="dxa"/>
            <w:gridSpan w:val="3"/>
          </w:tcPr>
          <w:p w:rsidR="00731232" w:rsidRPr="005D423F" w:rsidRDefault="00731232" w:rsidP="00C9683D">
            <w:pPr>
              <w:spacing w:after="0" w:line="240" w:lineRule="auto"/>
              <w:jc w:val="center"/>
              <w:rPr>
                <w:b/>
                <w:sz w:val="24"/>
                <w:szCs w:val="24"/>
              </w:rPr>
            </w:pPr>
          </w:p>
          <w:p w:rsidR="00731232" w:rsidRPr="00C9683D" w:rsidRDefault="00731232" w:rsidP="00C9683D">
            <w:pPr>
              <w:pStyle w:val="a7"/>
              <w:numPr>
                <w:ilvl w:val="0"/>
                <w:numId w:val="1"/>
              </w:numPr>
              <w:spacing w:after="0" w:line="240" w:lineRule="auto"/>
              <w:rPr>
                <w:rFonts w:ascii="Times New Roman" w:hAnsi="Times New Roman"/>
                <w:b/>
                <w:sz w:val="24"/>
                <w:szCs w:val="24"/>
                <w:lang w:val="ru-RU"/>
              </w:rPr>
            </w:pPr>
            <w:r w:rsidRPr="00C9683D">
              <w:rPr>
                <w:rFonts w:ascii="Times New Roman" w:hAnsi="Times New Roman"/>
                <w:b/>
                <w:sz w:val="24"/>
                <w:szCs w:val="24"/>
                <w:lang w:val="ru-RU"/>
              </w:rPr>
              <w:t>Кратко опишите основные достижения профессорско-преподавательского состава (участие профессорско-преподавательского состава  в научной деятельности, количество публикаций, участие в конференциях, симпозиумов). Не более 1 страницы А</w:t>
            </w:r>
            <w:proofErr w:type="gramStart"/>
            <w:r w:rsidRPr="00C9683D">
              <w:rPr>
                <w:rFonts w:ascii="Times New Roman" w:hAnsi="Times New Roman"/>
                <w:b/>
                <w:sz w:val="24"/>
                <w:szCs w:val="24"/>
                <w:lang w:val="ru-RU"/>
              </w:rPr>
              <w:t>4</w:t>
            </w:r>
            <w:proofErr w:type="gramEnd"/>
          </w:p>
          <w:p w:rsidR="00731232" w:rsidRDefault="00731232" w:rsidP="00C9683D">
            <w:pPr>
              <w:spacing w:after="0" w:line="240" w:lineRule="auto"/>
              <w:rPr>
                <w:sz w:val="20"/>
                <w:szCs w:val="20"/>
              </w:rPr>
            </w:pPr>
          </w:p>
          <w:p w:rsidR="005D423F" w:rsidRDefault="005D423F" w:rsidP="00C9683D">
            <w:pPr>
              <w:spacing w:after="0" w:line="240" w:lineRule="auto"/>
              <w:rPr>
                <w:sz w:val="20"/>
                <w:szCs w:val="20"/>
              </w:rPr>
            </w:pPr>
            <w:r>
              <w:rPr>
                <w:sz w:val="20"/>
                <w:szCs w:val="20"/>
              </w:rPr>
              <w:t xml:space="preserve">Please include measures to enhance research </w:t>
            </w:r>
            <w:proofErr w:type="gramStart"/>
            <w:r>
              <w:rPr>
                <w:sz w:val="20"/>
                <w:szCs w:val="20"/>
              </w:rPr>
              <w:t>activities  and</w:t>
            </w:r>
            <w:proofErr w:type="gramEnd"/>
            <w:r>
              <w:rPr>
                <w:sz w:val="20"/>
                <w:szCs w:val="20"/>
              </w:rPr>
              <w:t xml:space="preserve">  strategies to</w:t>
            </w:r>
            <w:r w:rsidR="00DA5E2D">
              <w:rPr>
                <w:sz w:val="20"/>
                <w:szCs w:val="20"/>
              </w:rPr>
              <w:t xml:space="preserve"> improve the teaching/research staff’s </w:t>
            </w:r>
            <w:r>
              <w:rPr>
                <w:sz w:val="20"/>
                <w:szCs w:val="20"/>
              </w:rPr>
              <w:t xml:space="preserve"> professional assessment and qualifications.</w:t>
            </w:r>
          </w:p>
          <w:p w:rsidR="005D423F" w:rsidRDefault="005D423F" w:rsidP="00C9683D">
            <w:pPr>
              <w:spacing w:after="0" w:line="240" w:lineRule="auto"/>
              <w:rPr>
                <w:sz w:val="20"/>
                <w:szCs w:val="20"/>
              </w:rPr>
            </w:pPr>
          </w:p>
          <w:p w:rsidR="005D423F" w:rsidRDefault="005D423F" w:rsidP="00C9683D">
            <w:pPr>
              <w:spacing w:after="0" w:line="240" w:lineRule="auto"/>
              <w:rPr>
                <w:sz w:val="20"/>
                <w:szCs w:val="20"/>
              </w:rPr>
            </w:pPr>
          </w:p>
          <w:p w:rsidR="00731232" w:rsidRPr="00C9683D" w:rsidRDefault="00731232" w:rsidP="00C9683D">
            <w:pPr>
              <w:pStyle w:val="a7"/>
              <w:numPr>
                <w:ilvl w:val="0"/>
                <w:numId w:val="1"/>
              </w:numPr>
              <w:spacing w:after="0" w:line="240" w:lineRule="auto"/>
              <w:rPr>
                <w:rFonts w:ascii="Times New Roman" w:hAnsi="Times New Roman"/>
                <w:b/>
                <w:sz w:val="24"/>
                <w:szCs w:val="24"/>
                <w:lang w:val="ru-RU"/>
              </w:rPr>
            </w:pPr>
            <w:r w:rsidRPr="00C9683D">
              <w:rPr>
                <w:rFonts w:ascii="Times New Roman" w:hAnsi="Times New Roman"/>
                <w:b/>
                <w:sz w:val="24"/>
                <w:szCs w:val="24"/>
                <w:lang w:val="ru-RU"/>
              </w:rPr>
              <w:t xml:space="preserve">Кратко опишите международную  деятельность. Не более </w:t>
            </w:r>
            <w:r w:rsidR="005D423F" w:rsidRPr="005D423F">
              <w:rPr>
                <w:rFonts w:ascii="Times New Roman" w:hAnsi="Times New Roman"/>
                <w:b/>
                <w:sz w:val="24"/>
                <w:szCs w:val="24"/>
                <w:lang w:val="ru-RU"/>
              </w:rPr>
              <w:t xml:space="preserve"> 1/2 </w:t>
            </w:r>
            <w:r w:rsidRPr="00C9683D">
              <w:rPr>
                <w:rFonts w:ascii="Times New Roman" w:hAnsi="Times New Roman"/>
                <w:b/>
                <w:sz w:val="24"/>
                <w:szCs w:val="24"/>
                <w:lang w:val="ru-RU"/>
              </w:rPr>
              <w:t xml:space="preserve"> страницы А</w:t>
            </w:r>
            <w:proofErr w:type="gramStart"/>
            <w:r w:rsidRPr="00C9683D">
              <w:rPr>
                <w:rFonts w:ascii="Times New Roman" w:hAnsi="Times New Roman"/>
                <w:b/>
                <w:sz w:val="24"/>
                <w:szCs w:val="24"/>
                <w:lang w:val="ru-RU"/>
              </w:rPr>
              <w:t>4</w:t>
            </w:r>
            <w:proofErr w:type="gramEnd"/>
          </w:p>
          <w:p w:rsidR="005D423F" w:rsidRPr="005D423F" w:rsidRDefault="005D423F" w:rsidP="005D423F">
            <w:pPr>
              <w:spacing w:after="0" w:line="240" w:lineRule="auto"/>
              <w:rPr>
                <w:sz w:val="20"/>
                <w:szCs w:val="20"/>
                <w:lang w:val="ru-RU"/>
              </w:rPr>
            </w:pPr>
          </w:p>
          <w:p w:rsidR="00731232" w:rsidRPr="005D423F" w:rsidRDefault="005D423F" w:rsidP="005D423F">
            <w:pPr>
              <w:spacing w:after="0" w:line="240" w:lineRule="auto"/>
              <w:rPr>
                <w:sz w:val="20"/>
                <w:szCs w:val="20"/>
              </w:rPr>
            </w:pPr>
            <w:r w:rsidRPr="005D423F">
              <w:rPr>
                <w:sz w:val="20"/>
                <w:szCs w:val="20"/>
              </w:rPr>
              <w:t xml:space="preserve">Please also include a brief description </w:t>
            </w:r>
            <w:proofErr w:type="gramStart"/>
            <w:r>
              <w:rPr>
                <w:sz w:val="20"/>
                <w:szCs w:val="20"/>
              </w:rPr>
              <w:t>of  linguistic</w:t>
            </w:r>
            <w:proofErr w:type="gramEnd"/>
            <w:r>
              <w:rPr>
                <w:sz w:val="20"/>
                <w:szCs w:val="20"/>
              </w:rPr>
              <w:t xml:space="preserve"> skills improvement</w:t>
            </w:r>
            <w:r w:rsidR="00DA5E2D">
              <w:rPr>
                <w:sz w:val="20"/>
                <w:szCs w:val="20"/>
              </w:rPr>
              <w:t>.</w:t>
            </w:r>
          </w:p>
          <w:p w:rsidR="005D423F" w:rsidRDefault="005D423F" w:rsidP="00C9683D">
            <w:pPr>
              <w:spacing w:after="0" w:line="240" w:lineRule="auto"/>
              <w:jc w:val="center"/>
              <w:rPr>
                <w:rFonts w:ascii="Times New Roman" w:hAnsi="Times New Roman"/>
                <w:b/>
                <w:sz w:val="24"/>
                <w:szCs w:val="24"/>
              </w:rPr>
            </w:pPr>
          </w:p>
          <w:p w:rsidR="005D423F" w:rsidRPr="005D423F" w:rsidRDefault="005D423F" w:rsidP="00C9683D">
            <w:pPr>
              <w:spacing w:after="0" w:line="240" w:lineRule="auto"/>
              <w:jc w:val="center"/>
              <w:rPr>
                <w:rFonts w:ascii="Times New Roman" w:hAnsi="Times New Roman"/>
                <w:b/>
                <w:sz w:val="24"/>
                <w:szCs w:val="24"/>
              </w:rPr>
            </w:pPr>
          </w:p>
          <w:p w:rsidR="00731232" w:rsidRPr="00F84793" w:rsidRDefault="00731232" w:rsidP="005D423F">
            <w:pPr>
              <w:numPr>
                <w:ilvl w:val="0"/>
                <w:numId w:val="1"/>
              </w:numPr>
              <w:spacing w:after="0" w:line="240" w:lineRule="auto"/>
              <w:jc w:val="both"/>
              <w:rPr>
                <w:rFonts w:ascii="Times New Roman" w:hAnsi="Times New Roman"/>
                <w:b/>
                <w:sz w:val="24"/>
                <w:szCs w:val="24"/>
                <w:lang w:val="ru-RU"/>
              </w:rPr>
            </w:pPr>
            <w:r w:rsidRPr="00C9683D">
              <w:rPr>
                <w:rFonts w:ascii="Times New Roman" w:hAnsi="Times New Roman"/>
                <w:b/>
                <w:sz w:val="24"/>
                <w:szCs w:val="24"/>
                <w:lang w:val="ru-RU"/>
              </w:rPr>
              <w:t>Кратко опишите работу с потенциальными работодателями</w:t>
            </w:r>
            <w:proofErr w:type="gramStart"/>
            <w:r w:rsidRPr="00C9683D">
              <w:rPr>
                <w:rFonts w:ascii="Times New Roman" w:hAnsi="Times New Roman"/>
                <w:b/>
                <w:sz w:val="24"/>
                <w:szCs w:val="24"/>
                <w:lang w:val="ru-RU"/>
              </w:rPr>
              <w:t xml:space="preserve"> Н</w:t>
            </w:r>
            <w:proofErr w:type="gramEnd"/>
            <w:r w:rsidRPr="00C9683D">
              <w:rPr>
                <w:rFonts w:ascii="Times New Roman" w:hAnsi="Times New Roman"/>
                <w:b/>
                <w:sz w:val="24"/>
                <w:szCs w:val="24"/>
                <w:lang w:val="ru-RU"/>
              </w:rPr>
              <w:t>е более 1</w:t>
            </w:r>
            <w:r w:rsidR="005D423F" w:rsidRPr="005D423F">
              <w:rPr>
                <w:rFonts w:ascii="Times New Roman" w:hAnsi="Times New Roman"/>
                <w:b/>
                <w:sz w:val="24"/>
                <w:szCs w:val="24"/>
                <w:lang w:val="ru-RU"/>
              </w:rPr>
              <w:t>/2</w:t>
            </w:r>
            <w:r w:rsidRPr="00C9683D">
              <w:rPr>
                <w:rFonts w:ascii="Times New Roman" w:hAnsi="Times New Roman"/>
                <w:b/>
                <w:sz w:val="24"/>
                <w:szCs w:val="24"/>
                <w:lang w:val="ru-RU"/>
              </w:rPr>
              <w:t xml:space="preserve"> страницы А4</w:t>
            </w:r>
          </w:p>
          <w:p w:rsidR="00731232" w:rsidRDefault="00731232" w:rsidP="00F84793">
            <w:pPr>
              <w:pStyle w:val="a7"/>
              <w:spacing w:after="0" w:line="240" w:lineRule="auto"/>
              <w:rPr>
                <w:rFonts w:ascii="Times New Roman" w:hAnsi="Times New Roman"/>
                <w:b/>
                <w:sz w:val="24"/>
                <w:szCs w:val="24"/>
                <w:lang w:val="ru-RU"/>
              </w:rPr>
            </w:pPr>
          </w:p>
          <w:p w:rsidR="005D423F" w:rsidRPr="005D423F" w:rsidRDefault="005D423F" w:rsidP="005D423F">
            <w:pPr>
              <w:spacing w:after="0" w:line="240" w:lineRule="auto"/>
              <w:rPr>
                <w:sz w:val="20"/>
                <w:szCs w:val="20"/>
              </w:rPr>
            </w:pPr>
            <w:r w:rsidRPr="005D423F">
              <w:rPr>
                <w:sz w:val="20"/>
                <w:szCs w:val="20"/>
              </w:rPr>
              <w:t xml:space="preserve">Please also include a brief description </w:t>
            </w:r>
            <w:proofErr w:type="gramStart"/>
            <w:r>
              <w:rPr>
                <w:sz w:val="20"/>
                <w:szCs w:val="20"/>
              </w:rPr>
              <w:t>of  links</w:t>
            </w:r>
            <w:proofErr w:type="gramEnd"/>
            <w:r>
              <w:rPr>
                <w:sz w:val="20"/>
                <w:szCs w:val="20"/>
              </w:rPr>
              <w:t xml:space="preserve"> with indu</w:t>
            </w:r>
            <w:r w:rsidR="00DA5E2D">
              <w:rPr>
                <w:sz w:val="20"/>
                <w:szCs w:val="20"/>
              </w:rPr>
              <w:t>stry/business (if exist) and whe</w:t>
            </w:r>
            <w:r>
              <w:rPr>
                <w:sz w:val="20"/>
                <w:szCs w:val="20"/>
              </w:rPr>
              <w:t>ther</w:t>
            </w:r>
            <w:r w:rsidR="00DA5E2D">
              <w:rPr>
                <w:sz w:val="20"/>
                <w:szCs w:val="20"/>
              </w:rPr>
              <w:t xml:space="preserve"> you plan to improve employment </w:t>
            </w:r>
            <w:r>
              <w:rPr>
                <w:sz w:val="20"/>
                <w:szCs w:val="20"/>
              </w:rPr>
              <w:t xml:space="preserve"> opportunities for your graduates.</w:t>
            </w:r>
          </w:p>
          <w:p w:rsidR="00731232" w:rsidRPr="005D423F" w:rsidRDefault="00731232" w:rsidP="00F84793">
            <w:pPr>
              <w:pStyle w:val="a9"/>
              <w:shd w:val="clear" w:color="auto" w:fill="FFFFFF"/>
              <w:spacing w:before="0" w:beforeAutospacing="0" w:after="0" w:afterAutospacing="0"/>
            </w:pPr>
          </w:p>
        </w:tc>
      </w:tr>
    </w:tbl>
    <w:p w:rsidR="00731232" w:rsidRPr="005D423F" w:rsidRDefault="00731232" w:rsidP="00161115">
      <w:pPr>
        <w:jc w:val="center"/>
        <w:rPr>
          <w:b/>
          <w:sz w:val="24"/>
          <w:szCs w:val="24"/>
        </w:rPr>
      </w:pPr>
    </w:p>
    <w:p w:rsidR="005D423F" w:rsidRDefault="005D423F" w:rsidP="005D423F">
      <w:pPr>
        <w:rPr>
          <w:b/>
          <w:sz w:val="24"/>
          <w:szCs w:val="24"/>
          <w:lang w:val="ru-RU"/>
        </w:rPr>
      </w:pPr>
      <w:r>
        <w:rPr>
          <w:b/>
          <w:sz w:val="24"/>
          <w:szCs w:val="24"/>
          <w:lang w:val="ru-RU"/>
        </w:rPr>
        <w:t>Фамилия  ответственного лица</w:t>
      </w:r>
      <w:r>
        <w:rPr>
          <w:b/>
          <w:sz w:val="24"/>
          <w:szCs w:val="24"/>
          <w:lang w:val="ru-RU"/>
        </w:rPr>
        <w:tab/>
      </w:r>
      <w:r>
        <w:rPr>
          <w:b/>
          <w:sz w:val="24"/>
          <w:szCs w:val="24"/>
          <w:lang w:val="ru-RU"/>
        </w:rPr>
        <w:tab/>
      </w:r>
      <w:r>
        <w:rPr>
          <w:b/>
          <w:sz w:val="24"/>
          <w:szCs w:val="24"/>
          <w:lang w:val="ru-RU"/>
        </w:rPr>
        <w:tab/>
      </w:r>
      <w:r>
        <w:rPr>
          <w:b/>
          <w:sz w:val="24"/>
          <w:szCs w:val="24"/>
          <w:lang w:val="ru-RU"/>
        </w:rPr>
        <w:tab/>
      </w:r>
      <w:r>
        <w:rPr>
          <w:b/>
          <w:sz w:val="24"/>
          <w:szCs w:val="24"/>
          <w:lang w:val="ru-RU"/>
        </w:rPr>
        <w:tab/>
        <w:t xml:space="preserve">                                 </w:t>
      </w:r>
    </w:p>
    <w:p w:rsidR="005D423F" w:rsidRDefault="005D423F" w:rsidP="005D423F">
      <w:pPr>
        <w:rPr>
          <w:b/>
          <w:sz w:val="24"/>
          <w:szCs w:val="24"/>
          <w:lang w:val="ru-RU"/>
        </w:rPr>
      </w:pPr>
    </w:p>
    <w:p w:rsidR="00731232" w:rsidRPr="00BF1FA4" w:rsidRDefault="005D423F" w:rsidP="005D423F">
      <w:pPr>
        <w:rPr>
          <w:b/>
          <w:sz w:val="24"/>
          <w:szCs w:val="24"/>
          <w:lang w:val="ru-RU"/>
        </w:rPr>
      </w:pPr>
      <w:r>
        <w:rPr>
          <w:b/>
          <w:sz w:val="24"/>
          <w:szCs w:val="24"/>
          <w:lang w:val="ru-RU"/>
        </w:rPr>
        <w:t>Подпись</w:t>
      </w:r>
    </w:p>
    <w:sectPr w:rsidR="00731232" w:rsidRPr="00BF1FA4" w:rsidSect="001A6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C5136"/>
    <w:multiLevelType w:val="hybridMultilevel"/>
    <w:tmpl w:val="A5A08B3E"/>
    <w:lvl w:ilvl="0" w:tplc="14D6B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956612"/>
    <w:multiLevelType w:val="hybridMultilevel"/>
    <w:tmpl w:val="63D43E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E130129"/>
    <w:multiLevelType w:val="hybridMultilevel"/>
    <w:tmpl w:val="63D43E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EA"/>
    <w:rsid w:val="00001FB6"/>
    <w:rsid w:val="00057A40"/>
    <w:rsid w:val="0009476C"/>
    <w:rsid w:val="00095D40"/>
    <w:rsid w:val="000A04FC"/>
    <w:rsid w:val="000B0C3B"/>
    <w:rsid w:val="000B7621"/>
    <w:rsid w:val="00114E52"/>
    <w:rsid w:val="00123156"/>
    <w:rsid w:val="00161115"/>
    <w:rsid w:val="00165071"/>
    <w:rsid w:val="001A602F"/>
    <w:rsid w:val="001A6E6F"/>
    <w:rsid w:val="001E16CD"/>
    <w:rsid w:val="00224201"/>
    <w:rsid w:val="00235DD0"/>
    <w:rsid w:val="0025203D"/>
    <w:rsid w:val="002A388D"/>
    <w:rsid w:val="002C108D"/>
    <w:rsid w:val="002F1A61"/>
    <w:rsid w:val="00373290"/>
    <w:rsid w:val="003F1A9E"/>
    <w:rsid w:val="004351B9"/>
    <w:rsid w:val="004539C9"/>
    <w:rsid w:val="0049704D"/>
    <w:rsid w:val="00497407"/>
    <w:rsid w:val="004A6ADE"/>
    <w:rsid w:val="004F1C0A"/>
    <w:rsid w:val="005161DA"/>
    <w:rsid w:val="00516EF4"/>
    <w:rsid w:val="005452E2"/>
    <w:rsid w:val="005D423F"/>
    <w:rsid w:val="00623A2F"/>
    <w:rsid w:val="0068016F"/>
    <w:rsid w:val="00690B4F"/>
    <w:rsid w:val="006E465E"/>
    <w:rsid w:val="007205A4"/>
    <w:rsid w:val="00731232"/>
    <w:rsid w:val="007B0091"/>
    <w:rsid w:val="007C3A6E"/>
    <w:rsid w:val="007D4643"/>
    <w:rsid w:val="00862F51"/>
    <w:rsid w:val="00882787"/>
    <w:rsid w:val="00896B32"/>
    <w:rsid w:val="008A5653"/>
    <w:rsid w:val="0090296C"/>
    <w:rsid w:val="009532A5"/>
    <w:rsid w:val="009618C6"/>
    <w:rsid w:val="00976D24"/>
    <w:rsid w:val="0098375A"/>
    <w:rsid w:val="009B55B9"/>
    <w:rsid w:val="00A05F30"/>
    <w:rsid w:val="00A076E8"/>
    <w:rsid w:val="00A209EA"/>
    <w:rsid w:val="00AD7D95"/>
    <w:rsid w:val="00B129E1"/>
    <w:rsid w:val="00B416F2"/>
    <w:rsid w:val="00B9602E"/>
    <w:rsid w:val="00BD6089"/>
    <w:rsid w:val="00BF1FA4"/>
    <w:rsid w:val="00C16C34"/>
    <w:rsid w:val="00C66073"/>
    <w:rsid w:val="00C9683D"/>
    <w:rsid w:val="00CC061C"/>
    <w:rsid w:val="00D34997"/>
    <w:rsid w:val="00D46458"/>
    <w:rsid w:val="00D50CF3"/>
    <w:rsid w:val="00D83616"/>
    <w:rsid w:val="00DA5E2D"/>
    <w:rsid w:val="00DB49CA"/>
    <w:rsid w:val="00DC394C"/>
    <w:rsid w:val="00E57CBD"/>
    <w:rsid w:val="00ED7745"/>
    <w:rsid w:val="00F64264"/>
    <w:rsid w:val="00F73FE7"/>
    <w:rsid w:val="00F83613"/>
    <w:rsid w:val="00F84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6F"/>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09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611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161115"/>
    <w:rPr>
      <w:rFonts w:ascii="Tahoma" w:hAnsi="Tahoma" w:cs="Tahoma"/>
      <w:sz w:val="16"/>
      <w:szCs w:val="16"/>
    </w:rPr>
  </w:style>
  <w:style w:type="character" w:styleId="a6">
    <w:name w:val="Hyperlink"/>
    <w:basedOn w:val="a0"/>
    <w:uiPriority w:val="99"/>
    <w:rsid w:val="00161115"/>
    <w:rPr>
      <w:rFonts w:cs="Times New Roman"/>
      <w:color w:val="0000FF"/>
      <w:u w:val="single"/>
    </w:rPr>
  </w:style>
  <w:style w:type="paragraph" w:styleId="HTML">
    <w:name w:val="HTML Preformatted"/>
    <w:basedOn w:val="a"/>
    <w:link w:val="HTML0"/>
    <w:uiPriority w:val="99"/>
    <w:semiHidden/>
    <w:rsid w:val="00AD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locked/>
    <w:rsid w:val="00AD7D95"/>
    <w:rPr>
      <w:rFonts w:ascii="Courier New" w:hAnsi="Courier New" w:cs="Courier New"/>
      <w:sz w:val="20"/>
      <w:szCs w:val="20"/>
    </w:rPr>
  </w:style>
  <w:style w:type="paragraph" w:styleId="a7">
    <w:name w:val="List Paragraph"/>
    <w:basedOn w:val="a"/>
    <w:uiPriority w:val="99"/>
    <w:qFormat/>
    <w:rsid w:val="00AD7D95"/>
    <w:pPr>
      <w:ind w:left="720"/>
      <w:contextualSpacing/>
    </w:pPr>
  </w:style>
  <w:style w:type="paragraph" w:styleId="a8">
    <w:name w:val="No Spacing"/>
    <w:uiPriority w:val="99"/>
    <w:qFormat/>
    <w:rsid w:val="00DB49CA"/>
    <w:pPr>
      <w:ind w:firstLine="360"/>
    </w:pPr>
    <w:rPr>
      <w:rFonts w:eastAsia="Times New Roman"/>
      <w:lang w:val="en-US" w:eastAsia="en-US"/>
    </w:rPr>
  </w:style>
  <w:style w:type="paragraph" w:styleId="a9">
    <w:name w:val="Normal (Web)"/>
    <w:basedOn w:val="a"/>
    <w:uiPriority w:val="99"/>
    <w:semiHidden/>
    <w:rsid w:val="00D83616"/>
    <w:pPr>
      <w:spacing w:before="100" w:beforeAutospacing="1" w:after="100" w:afterAutospacing="1" w:line="240" w:lineRule="auto"/>
    </w:pPr>
    <w:rPr>
      <w:rFonts w:ascii="Times New Roman" w:eastAsia="Times New Roman" w:hAnsi="Times New Roman"/>
      <w:sz w:val="24"/>
      <w:szCs w:val="24"/>
    </w:rPr>
  </w:style>
  <w:style w:type="character" w:styleId="aa">
    <w:name w:val="Strong"/>
    <w:basedOn w:val="a0"/>
    <w:uiPriority w:val="99"/>
    <w:qFormat/>
    <w:locked/>
    <w:rsid w:val="00F84793"/>
    <w:rPr>
      <w:rFonts w:cs="Times New Roman"/>
      <w:b/>
    </w:rPr>
  </w:style>
  <w:style w:type="paragraph" w:styleId="ab">
    <w:name w:val="Subtitle"/>
    <w:basedOn w:val="a"/>
    <w:next w:val="a"/>
    <w:link w:val="ac"/>
    <w:qFormat/>
    <w:locked/>
    <w:rsid w:val="005D423F"/>
    <w:pPr>
      <w:spacing w:after="60"/>
      <w:jc w:val="center"/>
      <w:outlineLvl w:val="1"/>
    </w:pPr>
    <w:rPr>
      <w:rFonts w:asciiTheme="majorHAnsi" w:eastAsiaTheme="majorEastAsia" w:hAnsiTheme="majorHAnsi" w:cstheme="majorBidi"/>
      <w:sz w:val="24"/>
      <w:szCs w:val="24"/>
    </w:rPr>
  </w:style>
  <w:style w:type="character" w:customStyle="1" w:styleId="ac">
    <w:name w:val="Подзаголовок Знак"/>
    <w:basedOn w:val="a0"/>
    <w:link w:val="ab"/>
    <w:rsid w:val="005D423F"/>
    <w:rPr>
      <w:rFonts w:asciiTheme="majorHAnsi" w:eastAsiaTheme="majorEastAsia" w:hAnsiTheme="majorHAnsi" w:cstheme="majorBid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6F"/>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09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611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161115"/>
    <w:rPr>
      <w:rFonts w:ascii="Tahoma" w:hAnsi="Tahoma" w:cs="Tahoma"/>
      <w:sz w:val="16"/>
      <w:szCs w:val="16"/>
    </w:rPr>
  </w:style>
  <w:style w:type="character" w:styleId="a6">
    <w:name w:val="Hyperlink"/>
    <w:basedOn w:val="a0"/>
    <w:uiPriority w:val="99"/>
    <w:rsid w:val="00161115"/>
    <w:rPr>
      <w:rFonts w:cs="Times New Roman"/>
      <w:color w:val="0000FF"/>
      <w:u w:val="single"/>
    </w:rPr>
  </w:style>
  <w:style w:type="paragraph" w:styleId="HTML">
    <w:name w:val="HTML Preformatted"/>
    <w:basedOn w:val="a"/>
    <w:link w:val="HTML0"/>
    <w:uiPriority w:val="99"/>
    <w:semiHidden/>
    <w:rsid w:val="00AD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locked/>
    <w:rsid w:val="00AD7D95"/>
    <w:rPr>
      <w:rFonts w:ascii="Courier New" w:hAnsi="Courier New" w:cs="Courier New"/>
      <w:sz w:val="20"/>
      <w:szCs w:val="20"/>
    </w:rPr>
  </w:style>
  <w:style w:type="paragraph" w:styleId="a7">
    <w:name w:val="List Paragraph"/>
    <w:basedOn w:val="a"/>
    <w:uiPriority w:val="99"/>
    <w:qFormat/>
    <w:rsid w:val="00AD7D95"/>
    <w:pPr>
      <w:ind w:left="720"/>
      <w:contextualSpacing/>
    </w:pPr>
  </w:style>
  <w:style w:type="paragraph" w:styleId="a8">
    <w:name w:val="No Spacing"/>
    <w:uiPriority w:val="99"/>
    <w:qFormat/>
    <w:rsid w:val="00DB49CA"/>
    <w:pPr>
      <w:ind w:firstLine="360"/>
    </w:pPr>
    <w:rPr>
      <w:rFonts w:eastAsia="Times New Roman"/>
      <w:lang w:val="en-US" w:eastAsia="en-US"/>
    </w:rPr>
  </w:style>
  <w:style w:type="paragraph" w:styleId="a9">
    <w:name w:val="Normal (Web)"/>
    <w:basedOn w:val="a"/>
    <w:uiPriority w:val="99"/>
    <w:semiHidden/>
    <w:rsid w:val="00D83616"/>
    <w:pPr>
      <w:spacing w:before="100" w:beforeAutospacing="1" w:after="100" w:afterAutospacing="1" w:line="240" w:lineRule="auto"/>
    </w:pPr>
    <w:rPr>
      <w:rFonts w:ascii="Times New Roman" w:eastAsia="Times New Roman" w:hAnsi="Times New Roman"/>
      <w:sz w:val="24"/>
      <w:szCs w:val="24"/>
    </w:rPr>
  </w:style>
  <w:style w:type="character" w:styleId="aa">
    <w:name w:val="Strong"/>
    <w:basedOn w:val="a0"/>
    <w:uiPriority w:val="99"/>
    <w:qFormat/>
    <w:locked/>
    <w:rsid w:val="00F84793"/>
    <w:rPr>
      <w:rFonts w:cs="Times New Roman"/>
      <w:b/>
    </w:rPr>
  </w:style>
  <w:style w:type="paragraph" w:styleId="ab">
    <w:name w:val="Subtitle"/>
    <w:basedOn w:val="a"/>
    <w:next w:val="a"/>
    <w:link w:val="ac"/>
    <w:qFormat/>
    <w:locked/>
    <w:rsid w:val="005D423F"/>
    <w:pPr>
      <w:spacing w:after="60"/>
      <w:jc w:val="center"/>
      <w:outlineLvl w:val="1"/>
    </w:pPr>
    <w:rPr>
      <w:rFonts w:asciiTheme="majorHAnsi" w:eastAsiaTheme="majorEastAsia" w:hAnsiTheme="majorHAnsi" w:cstheme="majorBidi"/>
      <w:sz w:val="24"/>
      <w:szCs w:val="24"/>
    </w:rPr>
  </w:style>
  <w:style w:type="character" w:customStyle="1" w:styleId="ac">
    <w:name w:val="Подзаголовок Знак"/>
    <w:basedOn w:val="a0"/>
    <w:link w:val="ab"/>
    <w:rsid w:val="005D423F"/>
    <w:rPr>
      <w:rFonts w:asciiTheme="majorHAnsi" w:eastAsiaTheme="majorEastAsia" w:hAnsiTheme="majorHAnsi" w:cstheme="maj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77794">
      <w:marLeft w:val="0"/>
      <w:marRight w:val="0"/>
      <w:marTop w:val="0"/>
      <w:marBottom w:val="0"/>
      <w:divBdr>
        <w:top w:val="none" w:sz="0" w:space="0" w:color="auto"/>
        <w:left w:val="none" w:sz="0" w:space="0" w:color="auto"/>
        <w:bottom w:val="none" w:sz="0" w:space="0" w:color="auto"/>
        <w:right w:val="none" w:sz="0" w:space="0" w:color="auto"/>
      </w:divBdr>
    </w:div>
    <w:div w:id="1583177795">
      <w:marLeft w:val="0"/>
      <w:marRight w:val="0"/>
      <w:marTop w:val="0"/>
      <w:marBottom w:val="0"/>
      <w:divBdr>
        <w:top w:val="none" w:sz="0" w:space="0" w:color="auto"/>
        <w:left w:val="none" w:sz="0" w:space="0" w:color="auto"/>
        <w:bottom w:val="none" w:sz="0" w:space="0" w:color="auto"/>
        <w:right w:val="none" w:sz="0" w:space="0" w:color="auto"/>
      </w:divBdr>
    </w:div>
    <w:div w:id="1583177796">
      <w:marLeft w:val="0"/>
      <w:marRight w:val="0"/>
      <w:marTop w:val="0"/>
      <w:marBottom w:val="0"/>
      <w:divBdr>
        <w:top w:val="none" w:sz="0" w:space="0" w:color="auto"/>
        <w:left w:val="none" w:sz="0" w:space="0" w:color="auto"/>
        <w:bottom w:val="none" w:sz="0" w:space="0" w:color="auto"/>
        <w:right w:val="none" w:sz="0" w:space="0" w:color="auto"/>
      </w:divBdr>
    </w:div>
    <w:div w:id="1583177801">
      <w:marLeft w:val="0"/>
      <w:marRight w:val="0"/>
      <w:marTop w:val="0"/>
      <w:marBottom w:val="0"/>
      <w:divBdr>
        <w:top w:val="none" w:sz="0" w:space="0" w:color="auto"/>
        <w:left w:val="none" w:sz="0" w:space="0" w:color="auto"/>
        <w:bottom w:val="none" w:sz="0" w:space="0" w:color="auto"/>
        <w:right w:val="none" w:sz="0" w:space="0" w:color="auto"/>
      </w:divBdr>
      <w:divsChild>
        <w:div w:id="1583177797">
          <w:marLeft w:val="0"/>
          <w:marRight w:val="0"/>
          <w:marTop w:val="0"/>
          <w:marBottom w:val="0"/>
          <w:divBdr>
            <w:top w:val="none" w:sz="0" w:space="0" w:color="auto"/>
            <w:left w:val="none" w:sz="0" w:space="0" w:color="auto"/>
            <w:bottom w:val="none" w:sz="0" w:space="0" w:color="auto"/>
            <w:right w:val="none" w:sz="0" w:space="0" w:color="auto"/>
          </w:divBdr>
        </w:div>
        <w:div w:id="1583177798">
          <w:marLeft w:val="0"/>
          <w:marRight w:val="0"/>
          <w:marTop w:val="0"/>
          <w:marBottom w:val="0"/>
          <w:divBdr>
            <w:top w:val="none" w:sz="0" w:space="0" w:color="auto"/>
            <w:left w:val="none" w:sz="0" w:space="0" w:color="auto"/>
            <w:bottom w:val="none" w:sz="0" w:space="0" w:color="auto"/>
            <w:right w:val="none" w:sz="0" w:space="0" w:color="auto"/>
          </w:divBdr>
        </w:div>
        <w:div w:id="1583177799">
          <w:marLeft w:val="0"/>
          <w:marRight w:val="0"/>
          <w:marTop w:val="0"/>
          <w:marBottom w:val="0"/>
          <w:divBdr>
            <w:top w:val="none" w:sz="0" w:space="0" w:color="auto"/>
            <w:left w:val="none" w:sz="0" w:space="0" w:color="auto"/>
            <w:bottom w:val="none" w:sz="0" w:space="0" w:color="auto"/>
            <w:right w:val="none" w:sz="0" w:space="0" w:color="auto"/>
          </w:divBdr>
        </w:div>
        <w:div w:id="1583177800">
          <w:marLeft w:val="0"/>
          <w:marRight w:val="0"/>
          <w:marTop w:val="0"/>
          <w:marBottom w:val="0"/>
          <w:divBdr>
            <w:top w:val="none" w:sz="0" w:space="0" w:color="auto"/>
            <w:left w:val="none" w:sz="0" w:space="0" w:color="auto"/>
            <w:bottom w:val="none" w:sz="0" w:space="0" w:color="auto"/>
            <w:right w:val="none" w:sz="0" w:space="0" w:color="auto"/>
          </w:divBdr>
        </w:div>
        <w:div w:id="1583177802">
          <w:marLeft w:val="0"/>
          <w:marRight w:val="0"/>
          <w:marTop w:val="0"/>
          <w:marBottom w:val="0"/>
          <w:divBdr>
            <w:top w:val="none" w:sz="0" w:space="0" w:color="auto"/>
            <w:left w:val="none" w:sz="0" w:space="0" w:color="auto"/>
            <w:bottom w:val="none" w:sz="0" w:space="0" w:color="auto"/>
            <w:right w:val="none" w:sz="0" w:space="0" w:color="auto"/>
          </w:divBdr>
        </w:div>
        <w:div w:id="1583177803">
          <w:marLeft w:val="0"/>
          <w:marRight w:val="0"/>
          <w:marTop w:val="0"/>
          <w:marBottom w:val="0"/>
          <w:divBdr>
            <w:top w:val="none" w:sz="0" w:space="0" w:color="auto"/>
            <w:left w:val="none" w:sz="0" w:space="0" w:color="auto"/>
            <w:bottom w:val="none" w:sz="0" w:space="0" w:color="auto"/>
            <w:right w:val="none" w:sz="0" w:space="0" w:color="auto"/>
          </w:divBdr>
        </w:div>
        <w:div w:id="1583177804">
          <w:marLeft w:val="0"/>
          <w:marRight w:val="0"/>
          <w:marTop w:val="0"/>
          <w:marBottom w:val="0"/>
          <w:divBdr>
            <w:top w:val="none" w:sz="0" w:space="0" w:color="auto"/>
            <w:left w:val="none" w:sz="0" w:space="0" w:color="auto"/>
            <w:bottom w:val="none" w:sz="0" w:space="0" w:color="auto"/>
            <w:right w:val="none" w:sz="0" w:space="0" w:color="auto"/>
          </w:divBdr>
        </w:div>
        <w:div w:id="1583177805">
          <w:marLeft w:val="0"/>
          <w:marRight w:val="0"/>
          <w:marTop w:val="0"/>
          <w:marBottom w:val="0"/>
          <w:divBdr>
            <w:top w:val="none" w:sz="0" w:space="0" w:color="auto"/>
            <w:left w:val="none" w:sz="0" w:space="0" w:color="auto"/>
            <w:bottom w:val="none" w:sz="0" w:space="0" w:color="auto"/>
            <w:right w:val="none" w:sz="0" w:space="0" w:color="auto"/>
          </w:divBdr>
        </w:div>
        <w:div w:id="1583177806">
          <w:marLeft w:val="0"/>
          <w:marRight w:val="0"/>
          <w:marTop w:val="0"/>
          <w:marBottom w:val="0"/>
          <w:divBdr>
            <w:top w:val="none" w:sz="0" w:space="0" w:color="auto"/>
            <w:left w:val="none" w:sz="0" w:space="0" w:color="auto"/>
            <w:bottom w:val="none" w:sz="0" w:space="0" w:color="auto"/>
            <w:right w:val="none" w:sz="0" w:space="0" w:color="auto"/>
          </w:divBdr>
        </w:div>
        <w:div w:id="1583177807">
          <w:marLeft w:val="0"/>
          <w:marRight w:val="0"/>
          <w:marTop w:val="0"/>
          <w:marBottom w:val="0"/>
          <w:divBdr>
            <w:top w:val="none" w:sz="0" w:space="0" w:color="auto"/>
            <w:left w:val="none" w:sz="0" w:space="0" w:color="auto"/>
            <w:bottom w:val="none" w:sz="0" w:space="0" w:color="auto"/>
            <w:right w:val="none" w:sz="0" w:space="0" w:color="auto"/>
          </w:divBdr>
        </w:div>
        <w:div w:id="1583177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Международный рейтинг ARES-2020</vt:lpstr>
    </vt:vector>
  </TitlesOfParts>
  <Company>HP</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рейтинг ARES-2020</dc:title>
  <dc:creator>fern melo</dc:creator>
  <cp:lastModifiedBy>fern melo</cp:lastModifiedBy>
  <cp:revision>2</cp:revision>
  <cp:lastPrinted>2020-03-06T02:08:00Z</cp:lastPrinted>
  <dcterms:created xsi:type="dcterms:W3CDTF">2021-03-05T14:59:00Z</dcterms:created>
  <dcterms:modified xsi:type="dcterms:W3CDTF">2021-03-05T14:59:00Z</dcterms:modified>
</cp:coreProperties>
</file>